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outlineLvl w:val="0"/>
        <w:rPr>
          <w:rFonts w:ascii="Arial" w:hAnsi="Arial" w:eastAsia="微软雅黑" w:cs="Arial"/>
          <w:b/>
          <w:sz w:val="24"/>
          <w:szCs w:val="24"/>
        </w:rPr>
      </w:pPr>
      <w:r>
        <w:rPr>
          <w:rFonts w:hint="eastAsia" w:ascii="Arial" w:hAnsi="Arial" w:eastAsia="微软雅黑" w:cs="Arial"/>
          <w:b/>
          <w:sz w:val="24"/>
          <w:szCs w:val="24"/>
        </w:rPr>
        <w:t>附件</w:t>
      </w:r>
      <w:r>
        <w:rPr>
          <w:rFonts w:ascii="Arial" w:hAnsi="Arial" w:eastAsia="微软雅黑" w:cs="Arial"/>
          <w:b/>
          <w:sz w:val="24"/>
          <w:szCs w:val="24"/>
        </w:rPr>
        <w:t>2</w:t>
      </w:r>
      <w:r>
        <w:rPr>
          <w:rFonts w:hint="eastAsia" w:ascii="Arial" w:hAnsi="Arial" w:eastAsia="微软雅黑" w:cs="Arial"/>
          <w:b/>
          <w:sz w:val="24"/>
          <w:szCs w:val="24"/>
        </w:rPr>
        <w:t>：</w:t>
      </w:r>
    </w:p>
    <w:p>
      <w:pPr>
        <w:snapToGrid w:val="0"/>
        <w:ind w:firstLine="420"/>
        <w:rPr>
          <w:rFonts w:ascii="Arial" w:hAnsi="Arial" w:eastAsia="微软雅黑" w:cs="Arial"/>
          <w:b/>
        </w:rPr>
      </w:pP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  <w:bookmarkStart w:id="0" w:name="_GoBack"/>
      <w:r>
        <w:rPr>
          <w:rFonts w:hint="eastAsia" w:ascii="Arial" w:hAnsi="Arial" w:eastAsia="微软雅黑" w:cs="Arial"/>
          <w:b/>
          <w:sz w:val="28"/>
          <w:szCs w:val="24"/>
        </w:rPr>
        <w:t>论文注释体例</w:t>
      </w:r>
    </w:p>
    <w:bookmarkEnd w:id="0"/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1. 专著、论文集、学位论文、报告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文献题名[文献类型标识]. 出版地：出版者，出版年. 起止页码(任选).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[1]刘国钧，陈绍业，王凤翥. 图书馆目录[M]. 北京：高等教育出版社，1957.15-18.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[2]辛希孟. 信息技术和信息服务国际研讨会论文集：A集[C]. 北京：中国社会科学出版社，1994.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[3]张筑生. 微分半动力系统的不变集[D]. 北京：北京大学数学系数学研究所，1983.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[4]冯西桥. 核反应堆压力管道和压力容器的LBB分析[R]. 北京：清华大学核能技术设计研究院，1997.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2. 期刊文章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文献题名[J]. 刊名，年，卷(期)：起止页码.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[5]何龄修. 读顾城《南明史》[J]. 中国史研究，1998，(3):167-173.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[6]金显贺，王昌长，王忠东，等. 一种用于在线检测局部放电的数字滤波技术[J].清华大学学报(自然科学版)，1993，33(4):62-67.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3. 论文集中的析出文献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[序号]析出文献主要责任者. 析出文献题名[A]. 原文献主要责任者(任选). 原文献题名[C]. 出版地：出版者，出版年. 析出文献起止页码.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[7]钟文发. 非线性规划在可燃毒物配置中的应用[A]. 赵玮. 运筹学的理论和应用——中国运筹学会第五届大会论文集[C]. 西安：西安电子科技大学出版社，1996. 468-471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4. 报纸文章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 [N]. 报纸名，出版日期(版次)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[8]谢希德. 创造学习的新思路[N]. 人民日报，1998-12-25(10)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5. 国际、国家标准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[序号]标准编号，标准名称[S].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[9]GB/T 16159—1996，汉语拼音正词法基本规则[S].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6. 专利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[序号]专利所有者. 专利题名[P]. 专利国别：专利号，出版日期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[10]姜锡洲. 一种温热外敷药制备方案[P]. 中国专利:881056073，1989-07-26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7. 电子文献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[序号]主要责任者.电子文献题名[电子文献和载体类型标识].电子文献的出处或可获得地址，发表或更新日期/引用日期(任选)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ind w:left="480" w:hanging="480" w:hanging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[11]王明亮. 关于中国学术期刊标准化数据库系统工程的进展[EB/OL].http://www.cajcd.edu.cn/pub/wml.txt/980810-2.html'1998-08-16/1998-10-04</w:t>
      </w:r>
    </w:p>
    <w:p>
      <w:pPr>
        <w:adjustRightInd w:val="0"/>
        <w:snapToGrid w:val="0"/>
        <w:ind w:left="360" w:hanging="360" w:hangingChars="15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[12]万锦坤. 中国大学学报论文文摘（1983—1993）. 英文版[DB/CD].北京：中国大百科全书出版社，1996.</w:t>
      </w: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ind w:firstLine="420"/>
      </w:pPr>
    </w:p>
    <w:sectPr>
      <w:headerReference r:id="rId3" w:type="default"/>
      <w:pgSz w:w="11906" w:h="16838"/>
      <w:pgMar w:top="1531" w:right="1418" w:bottom="1531" w:left="1588" w:header="284" w:footer="992" w:gutter="0"/>
      <w:cols w:space="425" w:num="1"/>
      <w:docGrid w:type="lines" w:linePitch="3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