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hint="eastAsia" w:ascii="黑体" w:hAnsi="黑体" w:eastAsia="黑体"/>
          <w:color w:val="000000"/>
          <w:spacing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/>
          <w:color w:val="000000"/>
          <w:spacing w:val="0"/>
          <w:sz w:val="32"/>
          <w:szCs w:val="32"/>
        </w:rPr>
        <w:t>附件</w:t>
      </w:r>
      <w:r>
        <w:rPr>
          <w:rFonts w:hint="eastAsia" w:ascii="黑体" w:hAnsi="黑体" w:eastAsia="黑体"/>
          <w:color w:val="000000"/>
          <w:spacing w:val="0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/>
        <w:suppressAutoHyphens/>
        <w:kinsoku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黑体" w:hAnsi="黑体" w:eastAsia="黑体"/>
          <w:spacing w:val="0"/>
          <w:szCs w:val="32"/>
        </w:rPr>
      </w:pPr>
    </w:p>
    <w:p>
      <w:pPr>
        <w:keepNext w:val="0"/>
        <w:keepLines w:val="0"/>
        <w:pageBreakBefore w:val="0"/>
        <w:widowControl/>
        <w:suppressAutoHyphens/>
        <w:kinsoku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方正小标宋简体" w:hAnsi="宋体" w:eastAsia="方正小标宋简体"/>
          <w:snapToGrid w:val="0"/>
          <w:spacing w:val="0"/>
          <w:w w:val="90"/>
          <w:sz w:val="44"/>
          <w:szCs w:val="44"/>
        </w:rPr>
      </w:pPr>
      <w:r>
        <w:rPr>
          <w:rFonts w:hint="eastAsia" w:ascii="方正小标宋简体" w:hAnsi="宋体" w:eastAsia="方正小标宋简体"/>
          <w:snapToGrid w:val="0"/>
          <w:spacing w:val="0"/>
          <w:w w:val="90"/>
          <w:sz w:val="44"/>
          <w:szCs w:val="44"/>
        </w:rPr>
        <w:t>202</w:t>
      </w:r>
      <w:r>
        <w:rPr>
          <w:rFonts w:hint="eastAsia" w:ascii="方正小标宋简体" w:hAnsi="宋体" w:eastAsia="方正小标宋简体"/>
          <w:snapToGrid w:val="0"/>
          <w:spacing w:val="0"/>
          <w:w w:val="90"/>
          <w:sz w:val="44"/>
          <w:szCs w:val="44"/>
          <w:lang w:eastAsia="zh-CN"/>
        </w:rPr>
        <w:t>3</w:t>
      </w:r>
      <w:r>
        <w:rPr>
          <w:rFonts w:hint="eastAsia" w:ascii="方正小标宋简体" w:hAnsi="宋体" w:eastAsia="方正小标宋简体"/>
          <w:snapToGrid w:val="0"/>
          <w:spacing w:val="0"/>
          <w:w w:val="90"/>
          <w:sz w:val="44"/>
          <w:szCs w:val="44"/>
        </w:rPr>
        <w:t>年度全面依法治市调研课题重点研究方向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_GB2312"/>
          <w:spacing w:val="0"/>
          <w:szCs w:val="32"/>
        </w:rPr>
      </w:pPr>
    </w:p>
    <w:p>
      <w:pPr>
        <w:keepNext w:val="0"/>
        <w:keepLines w:val="0"/>
        <w:pageBreakBefore w:val="0"/>
        <w:suppressAutoHyphens/>
        <w:kinsoku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习近平法治思想引领法治上海建设实践研究</w:t>
      </w:r>
    </w:p>
    <w:p>
      <w:pPr>
        <w:keepNext w:val="0"/>
        <w:keepLines w:val="0"/>
        <w:pageBreakBefore w:val="0"/>
        <w:suppressAutoHyphens/>
        <w:kinsoku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全过程人民民主法治实践研究</w:t>
      </w:r>
    </w:p>
    <w:p>
      <w:pPr>
        <w:keepNext w:val="0"/>
        <w:keepLines w:val="0"/>
        <w:pageBreakBefore w:val="0"/>
        <w:suppressAutoHyphens/>
        <w:kinsoku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上海法治化营商环境建设研究</w:t>
      </w:r>
    </w:p>
    <w:p>
      <w:pPr>
        <w:keepNext w:val="0"/>
        <w:keepLines w:val="0"/>
        <w:pageBreakBefore w:val="0"/>
        <w:suppressAutoHyphens/>
        <w:kinsoku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eastAsia" w:ascii="方正黑体_GBK" w:hAnsi="方正黑体_GBK" w:eastAsia="仿宋_GB2312" w:cs="方正黑体_GBK"/>
          <w:spacing w:val="0"/>
          <w:sz w:val="32"/>
          <w:szCs w:val="32"/>
          <w:lang w:eastAsia="zh-CN"/>
        </w:rPr>
      </w:pPr>
      <w:r>
        <w:rPr>
          <w:rFonts w:hint="eastAsia" w:ascii="方正黑体_GBK" w:hAnsi="方正黑体_GBK" w:eastAsia="仿宋_GB2312" w:cs="方正黑体_GBK"/>
          <w:spacing w:val="0"/>
          <w:sz w:val="32"/>
          <w:szCs w:val="32"/>
          <w:lang w:eastAsia="zh-CN"/>
        </w:rPr>
        <w:t>上海数字城市建设法治保障研究</w:t>
      </w:r>
    </w:p>
    <w:p>
      <w:pPr>
        <w:keepNext w:val="0"/>
        <w:keepLines w:val="0"/>
        <w:pageBreakBefore w:val="0"/>
        <w:suppressAutoHyphens/>
        <w:kinsoku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eastAsia" w:ascii="方正黑体_GBK" w:hAnsi="方正黑体_GBK" w:eastAsia="仿宋_GB2312" w:cs="方正黑体_GBK"/>
          <w:spacing w:val="0"/>
          <w:sz w:val="32"/>
          <w:szCs w:val="32"/>
          <w:lang w:eastAsia="zh-CN"/>
        </w:rPr>
      </w:pPr>
      <w:r>
        <w:rPr>
          <w:rFonts w:hint="eastAsia" w:ascii="方正黑体_GBK" w:hAnsi="方正黑体_GBK" w:eastAsia="仿宋_GB2312" w:cs="方正黑体_GBK"/>
          <w:spacing w:val="0"/>
          <w:sz w:val="32"/>
          <w:szCs w:val="32"/>
          <w:lang w:eastAsia="zh-CN"/>
        </w:rPr>
        <w:t>超大城市治理中的法治保障研究</w:t>
      </w:r>
    </w:p>
    <w:p>
      <w:pPr>
        <w:keepNext w:val="0"/>
        <w:keepLines w:val="0"/>
        <w:pageBreakBefore w:val="0"/>
        <w:suppressAutoHyphens/>
        <w:kinsoku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上海全面依法治市制度机制研究</w:t>
      </w:r>
    </w:p>
    <w:p>
      <w:pPr>
        <w:keepNext w:val="0"/>
        <w:keepLines w:val="0"/>
        <w:pageBreakBefore w:val="0"/>
        <w:suppressAutoHyphens/>
        <w:kinsoku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法治化引领保障上海现代化研究</w:t>
      </w:r>
    </w:p>
    <w:p>
      <w:pPr>
        <w:keepNext w:val="0"/>
        <w:keepLines w:val="0"/>
        <w:pageBreakBefore w:val="0"/>
        <w:suppressAutoHyphens/>
        <w:kinsoku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加强党内法规制度建设研究</w:t>
      </w:r>
    </w:p>
    <w:p>
      <w:pPr>
        <w:keepNext w:val="0"/>
        <w:keepLines w:val="0"/>
        <w:pageBreakBefore w:val="0"/>
        <w:suppressAutoHyphens/>
        <w:kinsoku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浦东引领区建设法治保障研究</w:t>
      </w:r>
    </w:p>
    <w:p>
      <w:pPr>
        <w:keepNext w:val="0"/>
        <w:keepLines w:val="0"/>
        <w:pageBreakBefore w:val="0"/>
        <w:suppressAutoHyphens/>
        <w:kinsoku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长三角一体化发展法治保障研究</w:t>
      </w:r>
    </w:p>
    <w:p>
      <w:pPr>
        <w:keepNext w:val="0"/>
        <w:keepLines w:val="0"/>
        <w:pageBreakBefore w:val="0"/>
        <w:suppressAutoHyphens/>
        <w:kinsoku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科技创新法治保障研究</w:t>
      </w:r>
    </w:p>
    <w:p>
      <w:pPr>
        <w:keepNext w:val="0"/>
        <w:keepLines w:val="0"/>
        <w:pageBreakBefore w:val="0"/>
        <w:suppressAutoHyphens/>
        <w:kinsoku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重点领域、新兴领域立法研究</w:t>
      </w:r>
    </w:p>
    <w:p>
      <w:pPr>
        <w:keepNext w:val="0"/>
        <w:keepLines w:val="0"/>
        <w:pageBreakBefore w:val="0"/>
        <w:suppressAutoHyphens/>
        <w:kinsoku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提升行政执法规范性、精准性、可预期性研究</w:t>
      </w:r>
    </w:p>
    <w:p>
      <w:pPr>
        <w:keepNext w:val="0"/>
        <w:keepLines w:val="0"/>
        <w:pageBreakBefore w:val="0"/>
        <w:suppressAutoHyphens/>
        <w:kinsoku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公益诉讼</w:t>
      </w:r>
      <w:r>
        <w:rPr>
          <w:rFonts w:hint="eastAsia" w:ascii="仿宋_GB2312" w:hAnsi="仿宋_GB2312" w:cs="仿宋_GB2312"/>
          <w:spacing w:val="0"/>
          <w:sz w:val="32"/>
          <w:szCs w:val="32"/>
          <w:lang w:eastAsia="zh-CN"/>
        </w:rPr>
        <w:t>制度及实践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研究</w:t>
      </w:r>
    </w:p>
    <w:p>
      <w:pPr>
        <w:keepNext w:val="0"/>
        <w:keepLines w:val="0"/>
        <w:pageBreakBefore w:val="0"/>
        <w:suppressAutoHyphens/>
        <w:kinsoku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司法体制综合配套改革研究</w:t>
      </w:r>
    </w:p>
    <w:p>
      <w:pPr>
        <w:keepNext w:val="0"/>
        <w:keepLines w:val="0"/>
        <w:pageBreakBefore w:val="0"/>
        <w:suppressAutoHyphens/>
        <w:kinsoku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公共法律服务体系建设研究</w:t>
      </w:r>
    </w:p>
    <w:p>
      <w:pPr>
        <w:keepNext w:val="0"/>
        <w:keepLines w:val="0"/>
        <w:pageBreakBefore w:val="0"/>
        <w:suppressAutoHyphens/>
        <w:kinsoku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上海建设国际法律服务中心研究</w:t>
      </w:r>
    </w:p>
    <w:p>
      <w:pPr>
        <w:keepNext w:val="0"/>
        <w:keepLines w:val="0"/>
        <w:pageBreakBefore w:val="0"/>
        <w:suppressAutoHyphens/>
        <w:kinsoku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上海建设涉外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法治人才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高地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研究</w:t>
      </w:r>
    </w:p>
    <w:p>
      <w:pPr>
        <w:keepNext w:val="0"/>
        <w:keepLines w:val="0"/>
        <w:pageBreakBefore w:val="0"/>
        <w:suppressAutoHyphens/>
        <w:kinsoku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eastAsia" w:ascii="仿宋_GB2312" w:hAnsi="仿宋_GB2312" w:cs="仿宋_GB2312"/>
          <w:spacing w:val="0"/>
          <w:sz w:val="32"/>
          <w:szCs w:val="32"/>
          <w:lang w:eastAsia="zh-CN"/>
        </w:rPr>
        <w:sectPr>
          <w:headerReference r:id="rId3" w:type="default"/>
          <w:footerReference r:id="rId4" w:type="default"/>
          <w:footerReference r:id="rId5" w:type="even"/>
          <w:pgSz w:w="11906" w:h="16838"/>
          <w:pgMar w:top="2098" w:right="1247" w:bottom="1985" w:left="1247" w:header="1276" w:footer="1588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chapSep="emDash"/>
          <w:cols w:space="720" w:num="1"/>
          <w:docGrid w:linePitch="579" w:charSpace="28703"/>
        </w:sectPr>
      </w:pPr>
      <w:r>
        <w:rPr>
          <w:rFonts w:hint="eastAsia" w:ascii="仿宋_GB2312" w:hAnsi="仿宋_GB2312" w:cs="仿宋_GB2312"/>
          <w:spacing w:val="0"/>
          <w:sz w:val="32"/>
          <w:szCs w:val="32"/>
          <w:lang w:eastAsia="zh-CN"/>
        </w:rPr>
        <w:t>上海红色法治文化研究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黑体">
    <w:altName w:val="方正黑体_GBK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  <w:ind w:right="360" w:firstLine="360"/>
    </w:pPr>
  </w:p>
</w:ftr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